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30" w:rsidRPr="004E2454" w:rsidRDefault="006F1F04" w:rsidP="00C402F3">
      <w:pPr>
        <w:rPr>
          <w:sz w:val="24"/>
          <w:szCs w:val="24"/>
        </w:rPr>
      </w:pPr>
      <w:r>
        <w:rPr>
          <w:b/>
          <w:noProof/>
          <w:sz w:val="24"/>
          <w:szCs w:val="24"/>
        </w:rPr>
        <mc:AlternateContent>
          <mc:Choice Requires="wps">
            <w:drawing>
              <wp:anchor distT="0" distB="0" distL="114300" distR="114300" simplePos="0" relativeHeight="251657728" behindDoc="0" locked="1" layoutInCell="0" allowOverlap="1">
                <wp:simplePos x="0" y="0"/>
                <wp:positionH relativeFrom="column">
                  <wp:posOffset>-107315</wp:posOffset>
                </wp:positionH>
                <wp:positionV relativeFrom="paragraph">
                  <wp:posOffset>-365760</wp:posOffset>
                </wp:positionV>
                <wp:extent cx="1783715" cy="1026160"/>
                <wp:effectExtent l="0" t="0" r="0" b="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83715" cy="102616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130" w:rsidRDefault="006F1F04">
                            <w:pPr>
                              <w:rPr>
                                <w:rFonts w:ascii="TMA Logo" w:hAnsi="TMA Logo"/>
                                <w:snapToGrid w:val="0"/>
                                <w:color w:val="000000"/>
                                <w:sz w:val="40"/>
                              </w:rPr>
                            </w:pPr>
                            <w:r>
                              <w:rPr>
                                <w:rFonts w:ascii="TMA Logo" w:hAnsi="TMA Logo"/>
                                <w:noProof/>
                                <w:color w:val="000000"/>
                                <w:sz w:val="40"/>
                              </w:rPr>
                              <w:drawing>
                                <wp:inline distT="0" distB="0" distL="0" distR="0">
                                  <wp:extent cx="1600200" cy="936625"/>
                                  <wp:effectExtent l="0" t="0" r="0" b="0"/>
                                  <wp:docPr id="1" name="Picture 1" descr="TMA Logo+TA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 Logo+TAG-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936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5pt;margin-top:-28.8pt;width:140.45pt;height:80.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" o:allowincell="f" filled="f" fillcolor="#0c9" stroked="f">
                <o:lock v:ext="edit" aspectratio="t"/>
                <v:textbox style="mso-fit-shape-to-text:t">
                  <w:txbxContent>
                    <w:p w:rsidR="00E87130" w:rsidRDefault="006F1F04">
                      <w:pPr>
                        <w:rPr>
                          <w:rFonts w:ascii="TMA Logo" w:hAnsi="TMA Logo"/>
                          <w:snapToGrid w:val="0"/>
                          <w:color w:val="000000"/>
                          <w:sz w:val="40"/>
                        </w:rPr>
                      </w:pPr>
                      <w:r>
                        <w:rPr>
                          <w:rFonts w:ascii="TMA Logo" w:hAnsi="TMA Logo"/>
                          <w:noProof/>
                          <w:color w:val="000000"/>
                          <w:sz w:val="40"/>
                        </w:rPr>
                        <w:drawing>
                          <wp:inline distT="0" distB="0" distL="0" distR="0">
                            <wp:extent cx="1600200" cy="936625"/>
                            <wp:effectExtent l="0" t="0" r="0" b="0"/>
                            <wp:docPr id="1" name="Picture 1" descr="TMA Logo+TA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 Logo+TAG-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936625"/>
                                    </a:xfrm>
                                    <a:prstGeom prst="rect">
                                      <a:avLst/>
                                    </a:prstGeom>
                                    <a:noFill/>
                                    <a:ln>
                                      <a:noFill/>
                                    </a:ln>
                                  </pic:spPr>
                                </pic:pic>
                              </a:graphicData>
                            </a:graphic>
                          </wp:inline>
                        </w:drawing>
                      </w:r>
                    </w:p>
                  </w:txbxContent>
                </v:textbox>
                <w10:anchorlock/>
              </v:shape>
            </w:pict>
          </mc:Fallback>
        </mc:AlternateContent>
      </w:r>
      <w:r w:rsidR="00E87130" w:rsidRPr="004E2454">
        <w:rPr>
          <w:sz w:val="24"/>
          <w:szCs w:val="24"/>
        </w:rPr>
        <w:tab/>
      </w:r>
      <w:r w:rsidR="00E87130" w:rsidRPr="004E2454">
        <w:rPr>
          <w:sz w:val="24"/>
          <w:szCs w:val="24"/>
        </w:rPr>
        <w:tab/>
      </w:r>
      <w:r w:rsidR="00E87130" w:rsidRPr="004E2454">
        <w:rPr>
          <w:sz w:val="24"/>
          <w:szCs w:val="24"/>
        </w:rPr>
        <w:tab/>
      </w:r>
      <w:r w:rsidR="00E87130" w:rsidRPr="004E2454">
        <w:rPr>
          <w:sz w:val="24"/>
          <w:szCs w:val="24"/>
        </w:rPr>
        <w:tab/>
      </w:r>
    </w:p>
    <w:p w:rsidR="00E87130" w:rsidRPr="004E2454" w:rsidRDefault="00E87130">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F1F04" w:rsidRPr="0009674D" w:rsidRDefault="006F1F04" w:rsidP="006F1F04">
      <w:pPr>
        <w:jc w:val="center"/>
        <w:rPr>
          <w:b/>
        </w:rPr>
      </w:pPr>
      <w:r w:rsidRPr="0009674D">
        <w:rPr>
          <w:b/>
        </w:rPr>
        <w:t>Regulatory Burdens and Threats to Practice Viability</w:t>
      </w:r>
    </w:p>
    <w:p w:rsidR="006F1F04" w:rsidRDefault="006F1F04" w:rsidP="006F1F04"/>
    <w:p w:rsidR="006F1F04" w:rsidRDefault="006F1F04" w:rsidP="006F1F04">
      <w:pPr>
        <w:rPr>
          <w:b/>
        </w:rPr>
      </w:pPr>
      <w:r>
        <w:rPr>
          <w:b/>
        </w:rPr>
        <w:t xml:space="preserve">New </w:t>
      </w:r>
      <w:r w:rsidRPr="009A4467">
        <w:rPr>
          <w:b/>
        </w:rPr>
        <w:t>Revenue Threats</w:t>
      </w:r>
    </w:p>
    <w:p w:rsidR="006F1F04" w:rsidRDefault="006F1F04" w:rsidP="006F1F04">
      <w:pPr>
        <w:rPr>
          <w:b/>
        </w:rPr>
      </w:pPr>
    </w:p>
    <w:p w:rsidR="006F1F04" w:rsidRDefault="006F1F04" w:rsidP="006F1F04">
      <w:r>
        <w:t>General</w:t>
      </w:r>
    </w:p>
    <w:p w:rsidR="006F1F04" w:rsidRDefault="006F1F04" w:rsidP="006F1F04">
      <w:pPr>
        <w:pStyle w:val="ListParagraph"/>
        <w:numPr>
          <w:ilvl w:val="0"/>
          <w:numId w:val="1"/>
        </w:numPr>
      </w:pPr>
      <w:r>
        <w:t>Overwhelming current and future budget deficits create compelling state and federal need to cut medical costs</w:t>
      </w:r>
    </w:p>
    <w:p w:rsidR="006F1F04" w:rsidRDefault="006F1F04" w:rsidP="006F1F04">
      <w:pPr>
        <w:pStyle w:val="ListParagraph"/>
        <w:numPr>
          <w:ilvl w:val="0"/>
          <w:numId w:val="1"/>
        </w:numPr>
      </w:pPr>
      <w:r>
        <w:t>New federal, state and commercial efforts  to “bend the cost curve” through bundled payment or other methods to decrease total medical spending</w:t>
      </w:r>
    </w:p>
    <w:p w:rsidR="006F1F04" w:rsidRDefault="006F1F04" w:rsidP="006F1F04">
      <w:pPr>
        <w:pStyle w:val="ListParagraph"/>
        <w:numPr>
          <w:ilvl w:val="0"/>
          <w:numId w:val="1"/>
        </w:numPr>
      </w:pPr>
      <w:r>
        <w:t>Probable failure of efforts to “bend the cost curve” could cause a push for policy makers to implement price controls in the commercial market.</w:t>
      </w:r>
    </w:p>
    <w:p w:rsidR="006F1F04" w:rsidRDefault="006F1F04" w:rsidP="006F1F04">
      <w:pPr>
        <w:pStyle w:val="ListParagraph"/>
      </w:pPr>
    </w:p>
    <w:p w:rsidR="006F1F04" w:rsidRPr="00645104" w:rsidRDefault="006F1F04" w:rsidP="006F1F04">
      <w:r w:rsidRPr="00645104">
        <w:t>Medicare</w:t>
      </w:r>
    </w:p>
    <w:p w:rsidR="006F1F04" w:rsidRDefault="006F1F04" w:rsidP="006F1F04">
      <w:pPr>
        <w:pStyle w:val="ListParagraph"/>
        <w:numPr>
          <w:ilvl w:val="0"/>
          <w:numId w:val="5"/>
        </w:numPr>
      </w:pPr>
      <w:r>
        <w:t xml:space="preserve">e-prescribing penalties begin, reducing all Medicare payments by 1% unless an exception applies or compliance was demonstrated by </w:t>
      </w:r>
      <w:r w:rsidRPr="000D4B64">
        <w:t>06/30/2011</w:t>
      </w:r>
      <w:r>
        <w:t>.  Penalties increase to 1.5% in 2013 and to 2% in 2014.</w:t>
      </w:r>
    </w:p>
    <w:p w:rsidR="006F1F04" w:rsidRDefault="006F1F04" w:rsidP="006F1F04">
      <w:pPr>
        <w:pStyle w:val="ListParagraph"/>
        <w:numPr>
          <w:ilvl w:val="0"/>
          <w:numId w:val="5"/>
        </w:numPr>
      </w:pPr>
      <w:r>
        <w:t xml:space="preserve">Payments will be denied for some services when referring physicians are not registered in Medicare’s new PECOS system </w:t>
      </w:r>
    </w:p>
    <w:p w:rsidR="006F1F04" w:rsidRDefault="006F1F04" w:rsidP="006F1F04">
      <w:pPr>
        <w:pStyle w:val="ListParagraph"/>
        <w:numPr>
          <w:ilvl w:val="0"/>
          <w:numId w:val="5"/>
        </w:numPr>
      </w:pPr>
      <w:r>
        <w:t>Scheduled SGR cut – 29.4%.  Medicare fees uncertain for all future years.</w:t>
      </w:r>
    </w:p>
    <w:p w:rsidR="006F1F04" w:rsidRDefault="006F1F04" w:rsidP="006F1F04">
      <w:pPr>
        <w:pStyle w:val="ListParagraph"/>
        <w:numPr>
          <w:ilvl w:val="0"/>
          <w:numId w:val="5"/>
        </w:numPr>
      </w:pPr>
      <w:r>
        <w:t>3% income tax withholding from all Medicare payments starting in 2012</w:t>
      </w:r>
    </w:p>
    <w:p w:rsidR="006F1F04" w:rsidRDefault="006F1F04" w:rsidP="006F1F04">
      <w:pPr>
        <w:pStyle w:val="ListParagraph"/>
        <w:numPr>
          <w:ilvl w:val="0"/>
          <w:numId w:val="5"/>
        </w:numPr>
      </w:pPr>
      <w:r>
        <w:t>PQRS penalties begin in 2015</w:t>
      </w:r>
    </w:p>
    <w:p w:rsidR="006F1F04" w:rsidRDefault="006F1F04" w:rsidP="006F1F04">
      <w:pPr>
        <w:pStyle w:val="ListParagraph"/>
        <w:numPr>
          <w:ilvl w:val="0"/>
          <w:numId w:val="5"/>
        </w:numPr>
      </w:pPr>
      <w:r>
        <w:t xml:space="preserve">Medicare Value-Based Payment begins in 2015 for some practices, imposing financial penalties on physicians whose patients have high Medicare cost and average or low “quality.”  Some of the physicians most likely to be negatively impacted are those that care for disadvantaged patients.  </w:t>
      </w:r>
    </w:p>
    <w:p w:rsidR="006F1F04" w:rsidRDefault="006F1F04" w:rsidP="006F1F04">
      <w:pPr>
        <w:pStyle w:val="ListParagraph"/>
        <w:numPr>
          <w:ilvl w:val="0"/>
          <w:numId w:val="5"/>
        </w:numPr>
      </w:pPr>
      <w:r>
        <w:t xml:space="preserve">Independent Medicare Advisory Board is required to cut costs and empowered to cut fees starting in 2015. </w:t>
      </w:r>
    </w:p>
    <w:p w:rsidR="006F1F04" w:rsidRDefault="006F1F04" w:rsidP="006F1F04">
      <w:pPr>
        <w:pStyle w:val="ListParagraph"/>
        <w:ind w:left="0"/>
      </w:pPr>
    </w:p>
    <w:p w:rsidR="006F1F04" w:rsidRDefault="006F1F04" w:rsidP="006F1F04">
      <w:pPr>
        <w:pStyle w:val="ListParagraph"/>
        <w:ind w:left="0"/>
      </w:pPr>
      <w:r>
        <w:t>Medicaid</w:t>
      </w:r>
    </w:p>
    <w:p w:rsidR="006F1F04" w:rsidRDefault="006F1F04" w:rsidP="006F1F04">
      <w:pPr>
        <w:pStyle w:val="ListParagraph"/>
        <w:numPr>
          <w:ilvl w:val="0"/>
          <w:numId w:val="4"/>
        </w:numPr>
      </w:pPr>
      <w:r>
        <w:t>Medicaid fees, already inadequate to cover average cost and well below commercial payment levels, were cut by 2% in 2010.</w:t>
      </w:r>
    </w:p>
    <w:p w:rsidR="006F1F04" w:rsidRDefault="006F1F04" w:rsidP="006F1F04">
      <w:pPr>
        <w:pStyle w:val="ListParagraph"/>
        <w:numPr>
          <w:ilvl w:val="0"/>
          <w:numId w:val="4"/>
        </w:numPr>
      </w:pPr>
      <w:r>
        <w:t xml:space="preserve">Starting in 2014, Medicaid expansion may result in “crowd out” as patients who formerly were self-pay or commercially insured enroll in Medicaid.  Although expanded coverage may reduce uncompensated care for physicians who provide care in emergency rooms, others, especially primary care physicians, may see net revenue losses due to lower Medicaid payments.  </w:t>
      </w:r>
    </w:p>
    <w:p w:rsidR="006F1F04" w:rsidRDefault="006F1F04" w:rsidP="006F1F04">
      <w:pPr>
        <w:pStyle w:val="ListParagraph"/>
      </w:pPr>
    </w:p>
    <w:p w:rsidR="006F1F04" w:rsidRDefault="006F1F04" w:rsidP="006F1F04">
      <w:pPr>
        <w:pStyle w:val="ListParagraph"/>
        <w:ind w:left="0"/>
      </w:pPr>
      <w:r>
        <w:t>Commercial</w:t>
      </w:r>
    </w:p>
    <w:p w:rsidR="006F1F04" w:rsidRDefault="006F1F04" w:rsidP="006F1F04">
      <w:pPr>
        <w:pStyle w:val="ListParagraph"/>
        <w:numPr>
          <w:ilvl w:val="0"/>
          <w:numId w:val="6"/>
        </w:numPr>
      </w:pPr>
      <w:r>
        <w:t>Health plan contracting leverage is increasing because</w:t>
      </w:r>
    </w:p>
    <w:p w:rsidR="006F1F04" w:rsidRDefault="006F1F04" w:rsidP="006F1F04">
      <w:pPr>
        <w:pStyle w:val="ListParagraph"/>
        <w:numPr>
          <w:ilvl w:val="1"/>
          <w:numId w:val="1"/>
        </w:numPr>
      </w:pPr>
      <w:r>
        <w:t>Commercial plan consolidation is continuing, pushed by federal regulations.</w:t>
      </w:r>
    </w:p>
    <w:p w:rsidR="006F1F04" w:rsidRDefault="006F1F04" w:rsidP="006F1F04">
      <w:pPr>
        <w:pStyle w:val="ListParagraph"/>
        <w:numPr>
          <w:ilvl w:val="1"/>
          <w:numId w:val="1"/>
        </w:numPr>
      </w:pPr>
      <w:r>
        <w:t xml:space="preserve">Required payment for preventive care coverage only applies for in-network providers.  </w:t>
      </w:r>
    </w:p>
    <w:p w:rsidR="006F1F04" w:rsidRDefault="006F1F04" w:rsidP="006F1F04">
      <w:pPr>
        <w:pStyle w:val="ListParagraph"/>
        <w:numPr>
          <w:ilvl w:val="0"/>
          <w:numId w:val="1"/>
        </w:numPr>
      </w:pPr>
      <w:r>
        <w:t xml:space="preserve">Increased plan leverage forces physician fees down.  </w:t>
      </w:r>
    </w:p>
    <w:p w:rsidR="006F1F04" w:rsidRDefault="006F1F04" w:rsidP="006F1F04">
      <w:pPr>
        <w:pStyle w:val="ListParagraph"/>
        <w:numPr>
          <w:ilvl w:val="0"/>
          <w:numId w:val="1"/>
        </w:numPr>
      </w:pPr>
      <w:r>
        <w:lastRenderedPageBreak/>
        <w:t xml:space="preserve">Hospital hiring of physicians allows them to subsidize employed physician practice cost and contract with plans for physician services at less than cost.  This puts downward pressure on contract prices offered to independent physicians in the community.  </w:t>
      </w:r>
    </w:p>
    <w:p w:rsidR="006F1F04" w:rsidRDefault="006F1F04" w:rsidP="006F1F04">
      <w:pPr>
        <w:rPr>
          <w:b/>
        </w:rPr>
      </w:pPr>
      <w:r>
        <w:rPr>
          <w:b/>
        </w:rPr>
        <w:t xml:space="preserve"> </w:t>
      </w:r>
    </w:p>
    <w:p w:rsidR="006F1F04" w:rsidRPr="00117189" w:rsidRDefault="006F1F04" w:rsidP="006F1F04">
      <w:pPr>
        <w:rPr>
          <w:b/>
        </w:rPr>
      </w:pPr>
      <w:r w:rsidRPr="009A4467">
        <w:rPr>
          <w:b/>
        </w:rPr>
        <w:t xml:space="preserve">Regulatory Burden </w:t>
      </w:r>
      <w:r>
        <w:rPr>
          <w:b/>
        </w:rPr>
        <w:t>– Increasing Practice Cost</w:t>
      </w:r>
    </w:p>
    <w:p w:rsidR="006F1F04" w:rsidRDefault="006F1F04" w:rsidP="006F1F04"/>
    <w:p w:rsidR="006F1F04" w:rsidRDefault="006F1F04" w:rsidP="006F1F04">
      <w:r>
        <w:t>Current and Ongoing</w:t>
      </w:r>
    </w:p>
    <w:p w:rsidR="006F1F04" w:rsidRDefault="006F1F04" w:rsidP="006F1F04"/>
    <w:p w:rsidR="006F1F04" w:rsidRDefault="006F1F04" w:rsidP="006F1F04">
      <w:pPr>
        <w:numPr>
          <w:ilvl w:val="0"/>
          <w:numId w:val="2"/>
        </w:numPr>
      </w:pPr>
      <w:r>
        <w:t>Medicare overpayments must be reported and returned within 60 days</w:t>
      </w:r>
    </w:p>
    <w:p w:rsidR="006F1F04" w:rsidRDefault="006F1F04" w:rsidP="006F1F04">
      <w:pPr>
        <w:numPr>
          <w:ilvl w:val="0"/>
          <w:numId w:val="2"/>
        </w:numPr>
      </w:pPr>
      <w:r>
        <w:t xml:space="preserve">New enforcement efforts including expanded </w:t>
      </w:r>
      <w:r w:rsidRPr="009F5AEB">
        <w:t>Recovery Audit Contractor</w:t>
      </w:r>
      <w:r>
        <w:t xml:space="preserve"> retrospective audits for Medicare, similar </w:t>
      </w:r>
      <w:r w:rsidRPr="009F5AEB">
        <w:t xml:space="preserve">Medicaid Integrity Contract </w:t>
      </w:r>
      <w:r>
        <w:t xml:space="preserve">audits for Medicaid, and </w:t>
      </w:r>
      <w:r w:rsidRPr="009F5AEB">
        <w:t>Medicare Zone Program Integrity Contractors</w:t>
      </w:r>
      <w:r>
        <w:t xml:space="preserve">  conducting both</w:t>
      </w:r>
      <w:r w:rsidRPr="009F5AEB">
        <w:t xml:space="preserve"> </w:t>
      </w:r>
      <w:r>
        <w:t>pre-payment reviews and post-payment audits. Auditors have new powers to recommend temporary payment suspensions.</w:t>
      </w:r>
    </w:p>
    <w:p w:rsidR="006F1F04" w:rsidRPr="000D4B64" w:rsidRDefault="006F1F04" w:rsidP="006F1F04">
      <w:pPr>
        <w:numPr>
          <w:ilvl w:val="0"/>
          <w:numId w:val="2"/>
        </w:numPr>
      </w:pPr>
      <w:r w:rsidRPr="000D4B64">
        <w:t>e-prescribing requirements must be met by 06/30/2011 and 12/31/2011 in order to avoid 2012 and 2013 penalties</w:t>
      </w:r>
    </w:p>
    <w:p w:rsidR="006F1F04" w:rsidRDefault="006F1F04" w:rsidP="006F1F04">
      <w:pPr>
        <w:numPr>
          <w:ilvl w:val="0"/>
          <w:numId w:val="2"/>
        </w:numPr>
      </w:pPr>
      <w:r>
        <w:t>EHR implementation to meet meaningful use standards</w:t>
      </w:r>
    </w:p>
    <w:p w:rsidR="006F1F04" w:rsidRDefault="006F1F04" w:rsidP="006F1F04">
      <w:pPr>
        <w:numPr>
          <w:ilvl w:val="0"/>
          <w:numId w:val="2"/>
        </w:numPr>
      </w:pPr>
      <w:r>
        <w:t>Required face-to-face visits for home health and hospice authorizations</w:t>
      </w:r>
    </w:p>
    <w:p w:rsidR="006F1F04" w:rsidRDefault="006F1F04" w:rsidP="006F1F04">
      <w:pPr>
        <w:numPr>
          <w:ilvl w:val="0"/>
          <w:numId w:val="2"/>
        </w:numPr>
      </w:pPr>
      <w:r>
        <w:t>New advance verifications needed for patients covered by commercial plans due to the elimination of co-pays, co-insurance and deductibles for an extensive but somewhat undefined  list of preventive, screening and other services in some, but not all, plans</w:t>
      </w:r>
    </w:p>
    <w:p w:rsidR="006F1F04" w:rsidRDefault="006F1F04" w:rsidP="006F1F04">
      <w:pPr>
        <w:numPr>
          <w:ilvl w:val="0"/>
          <w:numId w:val="2"/>
        </w:numPr>
      </w:pPr>
      <w:r>
        <w:t>New non-standard coding for preventive, screening and some other services</w:t>
      </w:r>
    </w:p>
    <w:p w:rsidR="006F1F04" w:rsidRDefault="006F1F04" w:rsidP="006F1F04">
      <w:pPr>
        <w:numPr>
          <w:ilvl w:val="0"/>
          <w:numId w:val="2"/>
        </w:numPr>
      </w:pPr>
      <w:r>
        <w:t>Written prescriptions for over-the counter drugs for some patients</w:t>
      </w:r>
    </w:p>
    <w:p w:rsidR="006F1F04" w:rsidRDefault="006F1F04" w:rsidP="006F1F04">
      <w:pPr>
        <w:ind w:left="720"/>
      </w:pPr>
    </w:p>
    <w:p w:rsidR="006F1F04" w:rsidRDefault="006F1F04" w:rsidP="006F1F04">
      <w:r>
        <w:t>2012</w:t>
      </w:r>
    </w:p>
    <w:p w:rsidR="006F1F04" w:rsidRDefault="006F1F04" w:rsidP="006F1F04"/>
    <w:p w:rsidR="006F1F04" w:rsidRDefault="006F1F04" w:rsidP="006F1F04">
      <w:pPr>
        <w:pStyle w:val="ListParagraph"/>
        <w:numPr>
          <w:ilvl w:val="0"/>
          <w:numId w:val="1"/>
        </w:numPr>
      </w:pPr>
      <w:r>
        <w:t xml:space="preserve">All electronic transactions must comply with new HIPAA 5010 format </w:t>
      </w:r>
    </w:p>
    <w:p w:rsidR="006F1F04" w:rsidRDefault="006F1F04" w:rsidP="006F1F04">
      <w:pPr>
        <w:pStyle w:val="ListParagraph"/>
        <w:numPr>
          <w:ilvl w:val="0"/>
          <w:numId w:val="1"/>
        </w:numPr>
      </w:pPr>
      <w:r>
        <w:t>Required reporting of the cost of benefits on IRS W-2 forms</w:t>
      </w:r>
    </w:p>
    <w:p w:rsidR="006F1F04" w:rsidRDefault="006F1F04" w:rsidP="006F1F04">
      <w:pPr>
        <w:pStyle w:val="ListParagraph"/>
        <w:numPr>
          <w:ilvl w:val="0"/>
          <w:numId w:val="1"/>
        </w:numPr>
      </w:pPr>
      <w:r>
        <w:t xml:space="preserve">Computer-generated faxing for Medicare prescriptions no longer permitted </w:t>
      </w:r>
    </w:p>
    <w:p w:rsidR="006F1F04" w:rsidRDefault="006F1F04" w:rsidP="006F1F04"/>
    <w:p w:rsidR="006F1F04" w:rsidRDefault="006F1F04" w:rsidP="006F1F04">
      <w:r>
        <w:t>2013</w:t>
      </w:r>
    </w:p>
    <w:p w:rsidR="006F1F04" w:rsidRDefault="006F1F04" w:rsidP="006F1F04"/>
    <w:p w:rsidR="006F1F04" w:rsidRDefault="006F1F04" w:rsidP="006F1F04">
      <w:pPr>
        <w:pStyle w:val="ListParagraph"/>
        <w:numPr>
          <w:ilvl w:val="0"/>
          <w:numId w:val="3"/>
        </w:numPr>
      </w:pPr>
      <w:r>
        <w:t>Required use of new ICD-10 diagnostic codes  starting on 10/01/2013</w:t>
      </w:r>
    </w:p>
    <w:p w:rsidR="006F1F04" w:rsidRDefault="006F1F04" w:rsidP="006F1F04">
      <w:pPr>
        <w:ind w:left="720"/>
      </w:pPr>
    </w:p>
    <w:p w:rsidR="006F1F04" w:rsidRDefault="006F1F04" w:rsidP="006F1F04">
      <w:r>
        <w:t>Date currently undetermined</w:t>
      </w:r>
    </w:p>
    <w:p w:rsidR="006F1F04" w:rsidRDefault="006F1F04" w:rsidP="006F1F04"/>
    <w:p w:rsidR="006F1F04" w:rsidRDefault="006F1F04" w:rsidP="006F1F04">
      <w:pPr>
        <w:pStyle w:val="ListParagraph"/>
        <w:numPr>
          <w:ilvl w:val="0"/>
          <w:numId w:val="3"/>
        </w:numPr>
      </w:pPr>
      <w:r>
        <w:t>Referring physician must be registered in Medicare’s new PECOS system or payment for referred services will be denied.</w:t>
      </w:r>
    </w:p>
    <w:p w:rsidR="00695A18" w:rsidRPr="006F1F04" w:rsidRDefault="006F1F04" w:rsidP="006F1F04">
      <w:pPr>
        <w:pStyle w:val="ListParagraph"/>
        <w:numPr>
          <w:ilvl w:val="0"/>
          <w:numId w:val="1"/>
        </w:numPr>
      </w:pPr>
      <w:r>
        <w:t>New utilization controls and/or formularies in Medicaid and workers compensation plans.</w:t>
      </w: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p>
    <w:p w:rsidR="00695A18" w:rsidRPr="004E2454" w:rsidRDefault="00695A18">
      <w:pPr>
        <w:rPr>
          <w:sz w:val="24"/>
          <w:szCs w:val="24"/>
        </w:rPr>
      </w:pPr>
      <w:bookmarkStart w:id="0" w:name="_GoBack"/>
      <w:bookmarkEnd w:id="0"/>
    </w:p>
    <w:sectPr w:rsidR="00695A18" w:rsidRPr="004E2454" w:rsidSect="009B29AD">
      <w:footerReference w:type="first" r:id="rId9"/>
      <w:pgSz w:w="12240" w:h="15840"/>
      <w:pgMar w:top="1440" w:right="1354" w:bottom="634" w:left="12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35E" w:rsidRDefault="00AF735E">
      <w:r>
        <w:separator/>
      </w:r>
    </w:p>
  </w:endnote>
  <w:endnote w:type="continuationSeparator" w:id="0">
    <w:p w:rsidR="00AF735E" w:rsidRDefault="00AF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A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36" w:rsidRDefault="00D95C36" w:rsidP="00D95C36">
    <w:pPr>
      <w:jc w:val="center"/>
      <w:rPr>
        <w:b/>
        <w:sz w:val="14"/>
      </w:rPr>
    </w:pPr>
  </w:p>
  <w:p w:rsidR="00D95C36" w:rsidRDefault="00D95C36" w:rsidP="00D95C36">
    <w:pPr>
      <w:jc w:val="center"/>
      <w:rPr>
        <w:sz w:val="24"/>
        <w:u w:val="single"/>
      </w:rPr>
    </w:pPr>
    <w:smartTag w:uri="urn:schemas-microsoft-com:office:smarttags" w:element="place">
      <w:smartTag w:uri="urn:schemas-microsoft-com:office:smarttags" w:element="State">
        <w:r>
          <w:rPr>
            <w:b/>
            <w:sz w:val="14"/>
          </w:rPr>
          <w:t>TEXAS</w:t>
        </w:r>
      </w:smartTag>
    </w:smartTag>
    <w:r>
      <w:rPr>
        <w:b/>
        <w:sz w:val="14"/>
      </w:rPr>
      <w:t xml:space="preserve"> MEDICAL ASSOCIATION  </w:t>
    </w:r>
    <w:r>
      <w:rPr>
        <w:sz w:val="14"/>
      </w:rPr>
      <w:t xml:space="preserve">  </w:t>
    </w:r>
    <w:smartTag w:uri="urn:schemas-microsoft-com:office:smarttags" w:element="address">
      <w:smartTag w:uri="urn:schemas-microsoft-com:office:smarttags" w:element="Street">
        <w:r>
          <w:rPr>
            <w:sz w:val="14"/>
          </w:rPr>
          <w:t>401 WEST 15TH STREET</w:t>
        </w:r>
      </w:smartTag>
      <w:r>
        <w:rPr>
          <w:sz w:val="14"/>
        </w:rPr>
        <w:t xml:space="preserve">   </w:t>
      </w:r>
      <w:smartTag w:uri="urn:schemas-microsoft-com:office:smarttags" w:element="City">
        <w:r>
          <w:rPr>
            <w:sz w:val="14"/>
          </w:rPr>
          <w:t>AUSTIN</w:t>
        </w:r>
      </w:smartTag>
      <w:r>
        <w:rPr>
          <w:sz w:val="14"/>
        </w:rPr>
        <w:t xml:space="preserve">, </w:t>
      </w:r>
      <w:smartTag w:uri="urn:schemas-microsoft-com:office:smarttags" w:element="State">
        <w:r>
          <w:rPr>
            <w:sz w:val="14"/>
          </w:rPr>
          <w:t>TEXAS</w:t>
        </w:r>
      </w:smartTag>
      <w:r>
        <w:rPr>
          <w:sz w:val="14"/>
        </w:rPr>
        <w:t xml:space="preserve"> </w:t>
      </w:r>
      <w:smartTag w:uri="urn:schemas-microsoft-com:office:smarttags" w:element="PostalCode">
        <w:r>
          <w:rPr>
            <w:sz w:val="14"/>
          </w:rPr>
          <w:t>78701-1680</w:t>
        </w:r>
      </w:smartTag>
    </w:smartTag>
    <w:r>
      <w:rPr>
        <w:sz w:val="14"/>
      </w:rPr>
      <w:t xml:space="preserve">   (512)370-1300   FAX (512)370-1630</w:t>
    </w:r>
    <w:r>
      <w:rPr>
        <w:b/>
        <w:sz w:val="14"/>
      </w:rPr>
      <w:t xml:space="preserve">  </w:t>
    </w:r>
    <w:r>
      <w:rPr>
        <w:sz w:val="14"/>
      </w:rPr>
      <w:t xml:space="preserve">  WWW.TEXMED.ORG</w:t>
    </w:r>
  </w:p>
  <w:p w:rsidR="009B29AD" w:rsidRDefault="009B2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35E" w:rsidRDefault="00AF735E">
      <w:r>
        <w:separator/>
      </w:r>
    </w:p>
  </w:footnote>
  <w:footnote w:type="continuationSeparator" w:id="0">
    <w:p w:rsidR="00AF735E" w:rsidRDefault="00AF7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54980"/>
    <w:multiLevelType w:val="hybridMultilevel"/>
    <w:tmpl w:val="42368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742F49"/>
    <w:multiLevelType w:val="hybridMultilevel"/>
    <w:tmpl w:val="B79206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BF6D54"/>
    <w:multiLevelType w:val="hybridMultilevel"/>
    <w:tmpl w:val="EB3A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017B82"/>
    <w:multiLevelType w:val="hybridMultilevel"/>
    <w:tmpl w:val="FED25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C87288A"/>
    <w:multiLevelType w:val="hybridMultilevel"/>
    <w:tmpl w:val="D624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2855EB1"/>
    <w:multiLevelType w:val="hybridMultilevel"/>
    <w:tmpl w:val="09FC5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04"/>
    <w:rsid w:val="004E2454"/>
    <w:rsid w:val="00533DBB"/>
    <w:rsid w:val="00695A18"/>
    <w:rsid w:val="006F1F04"/>
    <w:rsid w:val="009B29AD"/>
    <w:rsid w:val="00AF5916"/>
    <w:rsid w:val="00AF735E"/>
    <w:rsid w:val="00B61AEC"/>
    <w:rsid w:val="00C402F3"/>
    <w:rsid w:val="00D95C36"/>
    <w:rsid w:val="00E77305"/>
    <w:rsid w:val="00E8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i/>
      <w:sz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rsid w:val="00B61AEC"/>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B61AEC"/>
    <w:rPr>
      <w:rFonts w:cs="Arial"/>
    </w:rPr>
  </w:style>
  <w:style w:type="paragraph" w:styleId="ListParagraph">
    <w:name w:val="List Paragraph"/>
    <w:basedOn w:val="Normal"/>
    <w:uiPriority w:val="34"/>
    <w:qFormat/>
    <w:rsid w:val="006F1F04"/>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i/>
      <w:sz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rsid w:val="00B61AEC"/>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B61AEC"/>
    <w:rPr>
      <w:rFonts w:cs="Arial"/>
    </w:rPr>
  </w:style>
  <w:style w:type="paragraph" w:styleId="ListParagraph">
    <w:name w:val="List Paragraph"/>
    <w:basedOn w:val="Normal"/>
    <w:uiPriority w:val="34"/>
    <w:qFormat/>
    <w:rsid w:val="006F1F04"/>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20Templates\T%20M%20A\!TM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!TMA LetterHead.dot</Template>
  <TotalTime>1</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Texas Medical Association</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1601-01-01T00:00:00Z</cp:lastPrinted>
  <dcterms:created xsi:type="dcterms:W3CDTF">2011-10-12T16:46:00Z</dcterms:created>
  <dcterms:modified xsi:type="dcterms:W3CDTF">2011-10-12T16:47:00Z</dcterms:modified>
</cp:coreProperties>
</file>